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200" w:line="24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MARKET RESEARCH DOCUMENT</w:t>
      </w:r>
    </w:p>
    <w:p w:rsidR="00000000" w:rsidDel="00000000" w:rsidP="00000000" w:rsidRDefault="00000000" w:rsidRPr="00000000" w14:paraId="00000002">
      <w:pPr>
        <w:spacing w:after="200" w:before="20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Project/Product Name:</w:t>
      </w:r>
      <w:r w:rsidDel="00000000" w:rsidR="00000000" w:rsidRPr="00000000">
        <w:rPr>
          <w:sz w:val="24"/>
          <w:szCs w:val="24"/>
          <w:rtl w:val="0"/>
        </w:rPr>
        <w:t xml:space="preserve"> SHE &lt;CODES/&gt;</w:t>
      </w:r>
    </w:p>
    <w:p w:rsidR="00000000" w:rsidDel="00000000" w:rsidP="00000000" w:rsidRDefault="00000000" w:rsidRPr="00000000" w14:paraId="00000003">
      <w:pPr>
        <w:spacing w:after="200" w:before="20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Target Audience:</w:t>
      </w:r>
      <w:r w:rsidDel="00000000" w:rsidR="00000000" w:rsidRPr="00000000">
        <w:rPr>
          <w:sz w:val="24"/>
          <w:szCs w:val="24"/>
          <w:rtl w:val="0"/>
        </w:rPr>
        <w:t xml:space="preserve"> Middle School Students (11-14), High School Students (15-18), and Adults (18+)</w:t>
      </w:r>
    </w:p>
    <w:p w:rsidR="00000000" w:rsidDel="00000000" w:rsidP="00000000" w:rsidRDefault="00000000" w:rsidRPr="00000000" w14:paraId="00000004">
      <w:pPr>
        <w:spacing w:after="240" w:before="24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Market Overview </w:t>
      </w:r>
    </w:p>
    <w:p w:rsidR="00000000" w:rsidDel="00000000" w:rsidP="00000000" w:rsidRDefault="00000000" w:rsidRPr="00000000" w14:paraId="00000005">
      <w:pPr>
        <w:spacing w:after="240" w:before="240"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educational technology (EdTech) market is a rapidly growing market, with educational games becoming a strong trend. The global EdTech market is expected to grow at a compound annual growth rate (CAGR) of 19.9% by 2028, due to the increasing demand for programming skills in various industries and the introduction of coding into school curriculums.</w:t>
      </w:r>
    </w:p>
    <w:p w:rsidR="00000000" w:rsidDel="00000000" w:rsidP="00000000" w:rsidRDefault="00000000" w:rsidRPr="00000000" w14:paraId="00000006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Target Audience</w:t>
      </w:r>
    </w:p>
    <w:tbl>
      <w:tblPr>
        <w:tblStyle w:val="Table1"/>
        <w:tblW w:w="9405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160"/>
        <w:gridCol w:w="1140"/>
        <w:gridCol w:w="6105"/>
        <w:tblGridChange w:id="0">
          <w:tblGrid>
            <w:gridCol w:w="2160"/>
            <w:gridCol w:w="1140"/>
            <w:gridCol w:w="6105"/>
          </w:tblGrid>
        </w:tblGridChange>
      </w:tblGrid>
      <w:tr>
        <w:trPr>
          <w:cantSplit w:val="0"/>
          <w:trHeight w:val="983.0188171900229" w:hRule="atLeast"/>
          <w:tblHeader w:val="0"/>
        </w:trPr>
        <w:tc>
          <w:tcPr>
            <w:tcBorders>
              <w:top w:color="999999" w:space="0" w:sz="6" w:val="single"/>
              <w:left w:color="999999" w:space="0" w:sz="6" w:val="single"/>
              <w:bottom w:color="666666" w:space="0" w:sz="12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spacing w:after="160" w:before="24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Demographic </w:t>
            </w:r>
          </w:p>
        </w:tc>
        <w:tc>
          <w:tcPr>
            <w:tcBorders>
              <w:top w:color="999999" w:space="0" w:sz="6" w:val="single"/>
              <w:left w:color="000000" w:space="0" w:sz="0" w:val="nil"/>
              <w:bottom w:color="666666" w:space="0" w:sz="12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spacing w:after="160" w:before="24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Age Range</w:t>
            </w:r>
          </w:p>
        </w:tc>
        <w:tc>
          <w:tcPr>
            <w:tcBorders>
              <w:top w:color="999999" w:space="0" w:sz="6" w:val="single"/>
              <w:left w:color="000000" w:space="0" w:sz="0" w:val="nil"/>
              <w:bottom w:color="666666" w:space="0" w:sz="12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spacing w:after="160" w:before="24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Characteristics</w:t>
            </w:r>
          </w:p>
        </w:tc>
      </w:tr>
      <w:tr>
        <w:trPr>
          <w:cantSplit w:val="0"/>
          <w:trHeight w:val="983.0188171900229" w:hRule="atLeast"/>
          <w:tblHeader w:val="0"/>
        </w:trPr>
        <w:tc>
          <w:tcPr>
            <w:tcBorders>
              <w:top w:color="000000" w:space="0" w:sz="0" w:val="nil"/>
              <w:left w:color="999999" w:space="0" w:sz="6" w:val="single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Middle School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11–14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Beginner-level coders. Need engaging, visual, and reward-based learning.</w:t>
            </w:r>
          </w:p>
        </w:tc>
      </w:tr>
      <w:tr>
        <w:trPr>
          <w:cantSplit w:val="0"/>
          <w:trHeight w:val="1037.7968046230988" w:hRule="atLeast"/>
          <w:tblHeader w:val="0"/>
        </w:trPr>
        <w:tc>
          <w:tcPr>
            <w:tcBorders>
              <w:top w:color="000000" w:space="0" w:sz="0" w:val="nil"/>
              <w:left w:color="999999" w:space="0" w:sz="6" w:val="single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High School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15–18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Intermediate learners. More independent and curious, may consider coding for career development.</w:t>
            </w:r>
          </w:p>
        </w:tc>
      </w:tr>
      <w:tr>
        <w:trPr>
          <w:cantSplit w:val="0"/>
          <w:trHeight w:val="1268.0014984968554" w:hRule="atLeast"/>
          <w:tblHeader w:val="0"/>
        </w:trPr>
        <w:tc>
          <w:tcPr>
            <w:tcBorders>
              <w:top w:color="000000" w:space="0" w:sz="0" w:val="nil"/>
              <w:left w:color="999999" w:space="0" w:sz="6" w:val="single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Adults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Varied skill levels. Motivated by personal interest or career advancement. Prefer self-paced, practical learning.</w:t>
            </w:r>
          </w:p>
        </w:tc>
      </w:tr>
    </w:tbl>
    <w:p w:rsidR="00000000" w:rsidDel="00000000" w:rsidP="00000000" w:rsidRDefault="00000000" w:rsidRPr="00000000" w14:paraId="00000014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240" w:before="24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User Needs and Problems</w:t>
      </w:r>
    </w:p>
    <w:tbl>
      <w:tblPr>
        <w:tblStyle w:val="Table2"/>
        <w:tblW w:w="10470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250"/>
        <w:gridCol w:w="5220"/>
        <w:tblGridChange w:id="0">
          <w:tblGrid>
            <w:gridCol w:w="5250"/>
            <w:gridCol w:w="5220"/>
          </w:tblGrid>
        </w:tblGridChange>
      </w:tblGrid>
      <w:tr>
        <w:trPr>
          <w:cantSplit w:val="0"/>
          <w:trHeight w:val="735" w:hRule="atLeast"/>
          <w:tblHeader w:val="0"/>
        </w:trPr>
        <w:tc>
          <w:tcPr>
            <w:tcBorders>
              <w:top w:color="999999" w:space="0" w:sz="6" w:val="single"/>
              <w:left w:color="999999" w:space="0" w:sz="6" w:val="single"/>
              <w:bottom w:color="666666" w:space="0" w:sz="12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after="160" w:before="24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Problem</w:t>
            </w:r>
          </w:p>
        </w:tc>
        <w:tc>
          <w:tcPr>
            <w:tcBorders>
              <w:top w:color="999999" w:space="0" w:sz="6" w:val="single"/>
              <w:left w:color="000000" w:space="0" w:sz="0" w:val="nil"/>
              <w:bottom w:color="666666" w:space="0" w:sz="12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after="160" w:before="24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Solution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999999" w:space="0" w:sz="6" w:val="single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Coding is intimidating or boring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Fun, low-pressure learning through interactive stories and quests</w:t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0" w:val="nil"/>
              <w:left w:color="999999" w:space="0" w:sz="6" w:val="single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Lack of motivation or feedback in traditional learning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Instant feedback, achievements, and rewards in-game</w:t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0" w:val="nil"/>
              <w:left w:color="999999" w:space="0" w:sz="6" w:val="single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Overly complex material for younger learners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Age-appropriate dialogue, scaffolded challenges, and visual aids</w:t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0" w:val="nil"/>
              <w:left w:color="999999" w:space="0" w:sz="6" w:val="single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Difficulty retaining syntax and logic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Learn by doing through real Python code in practical puzzles</w:t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0" w:val="nil"/>
              <w:left w:color="999999" w:space="0" w:sz="6" w:val="single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Limited access to structured yet fun programming content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All-in-one game experience with adaptive content</w:t>
            </w:r>
          </w:p>
        </w:tc>
      </w:tr>
    </w:tbl>
    <w:p w:rsidR="00000000" w:rsidDel="00000000" w:rsidP="00000000" w:rsidRDefault="00000000" w:rsidRPr="00000000" w14:paraId="00000022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3">
      <w:pPr>
        <w:spacing w:after="240" w:before="24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Competitor Analysis</w:t>
      </w:r>
    </w:p>
    <w:tbl>
      <w:tblPr>
        <w:tblStyle w:val="Table3"/>
        <w:tblW w:w="10800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060"/>
        <w:gridCol w:w="3580"/>
        <w:gridCol w:w="5160"/>
        <w:tblGridChange w:id="0">
          <w:tblGrid>
            <w:gridCol w:w="2060"/>
            <w:gridCol w:w="3580"/>
            <w:gridCol w:w="5160"/>
          </w:tblGrid>
        </w:tblGridChange>
      </w:tblGrid>
      <w:tr>
        <w:trPr>
          <w:cantSplit w:val="0"/>
          <w:trHeight w:val="465" w:hRule="atLeast"/>
          <w:tblHeader w:val="0"/>
        </w:trPr>
        <w:tc>
          <w:tcPr>
            <w:tcBorders>
              <w:top w:color="999999" w:space="0" w:sz="6" w:val="single"/>
              <w:left w:color="999999" w:space="0" w:sz="6" w:val="single"/>
              <w:bottom w:color="666666" w:space="0" w:sz="12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after="160" w:before="24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Competitor</w:t>
            </w:r>
          </w:p>
        </w:tc>
        <w:tc>
          <w:tcPr>
            <w:tcBorders>
              <w:top w:color="999999" w:space="0" w:sz="6" w:val="single"/>
              <w:left w:color="000000" w:space="0" w:sz="0" w:val="nil"/>
              <w:bottom w:color="666666" w:space="0" w:sz="12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spacing w:after="160" w:before="24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Key Features</w:t>
            </w:r>
          </w:p>
        </w:tc>
        <w:tc>
          <w:tcPr>
            <w:tcBorders>
              <w:top w:color="999999" w:space="0" w:sz="6" w:val="single"/>
              <w:left w:color="000000" w:space="0" w:sz="0" w:val="nil"/>
              <w:bottom w:color="666666" w:space="0" w:sz="12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after="160" w:before="24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Analysis</w:t>
            </w:r>
          </w:p>
        </w:tc>
      </w:tr>
      <w:tr>
        <w:trPr>
          <w:cantSplit w:val="0"/>
          <w:trHeight w:val="1005" w:hRule="atLeast"/>
          <w:tblHeader w:val="0"/>
        </w:trPr>
        <w:tc>
          <w:tcPr>
            <w:tcBorders>
              <w:top w:color="000000" w:space="0" w:sz="0" w:val="nil"/>
              <w:left w:color="999999" w:space="0" w:sz="6" w:val="single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CodeCombat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RPG-style coding game, mostly for kids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Python Adventure adds story depth, supports older audiences, and blends puzzles with roleplay</w:t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0" w:val="nil"/>
              <w:left w:color="999999" w:space="0" w:sz="6" w:val="single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Tynker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Modular courses, heavily visual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Lacks cohesive adventure or motivation for older users</w:t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0" w:val="nil"/>
              <w:left w:color="999999" w:space="0" w:sz="6" w:val="single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Scratch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Visual coding for beginners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Doesn’t teach Python syntax, geared toward much younger users</w:t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0" w:val="nil"/>
              <w:left w:color="999999" w:space="0" w:sz="6" w:val="single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SoloLearn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Structured lessons for adults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 educational gaming or story elements</w:t>
            </w:r>
          </w:p>
        </w:tc>
      </w:tr>
      <w:tr>
        <w:trPr>
          <w:cantSplit w:val="0"/>
          <w:trHeight w:val="1050" w:hRule="atLeast"/>
          <w:tblHeader w:val="0"/>
        </w:trPr>
        <w:tc>
          <w:tcPr>
            <w:tcBorders>
              <w:top w:color="000000" w:space="0" w:sz="0" w:val="nil"/>
              <w:left w:color="999999" w:space="0" w:sz="6" w:val="single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Roblox Studio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Lua-based game coding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999999" w:space="0" w:sz="6" w:val="single"/>
              <w:right w:color="999999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spacing w:after="160" w:before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Not Python. More focused on game dev than language skills</w:t>
            </w:r>
          </w:p>
        </w:tc>
      </w:tr>
    </w:tbl>
    <w:p w:rsidR="00000000" w:rsidDel="00000000" w:rsidP="00000000" w:rsidRDefault="00000000" w:rsidRPr="00000000" w14:paraId="00000036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Game Development Recommendations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Story-Driven Learning: Unlike linear lessons, users learn by progressing through a story with characters, quests, and dialogue.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Age-Sensitive Difficulty Scaling: The game dynamically adjusts tone, complexity, and examples based on the player’s age group.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Real Python Code: Teaches players actual Python syntax and logic, enabling them to apply skills outside the game.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24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Progressive Curriculum: Covers basics to intermediate topics. Including variables, loops, functions, OOP, file handling, and simple algorithms.</w:t>
      </w:r>
    </w:p>
    <w:p w:rsidR="00000000" w:rsidDel="00000000" w:rsidP="00000000" w:rsidRDefault="00000000" w:rsidRPr="00000000" w14:paraId="0000003C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D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Technical and Design Recommendations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Accounts and Save Progress: Help with learning continuity and track progress.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Hint System and Glossary: Assistance for syntax, logic, and common mistakes.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after="24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Accessibility: Subtitles, different accessibility options, and adjustable difficulties.</w:t>
      </w:r>
    </w:p>
    <w:p w:rsidR="00000000" w:rsidDel="00000000" w:rsidP="00000000" w:rsidRDefault="00000000" w:rsidRPr="00000000" w14:paraId="00000041">
      <w:pPr>
        <w:spacing w:after="24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24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Sources:</w:t>
      </w: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55.8678552700577"/>
        <w:gridCol w:w="8604.132144729942"/>
        <w:tblGridChange w:id="0">
          <w:tblGrid>
            <w:gridCol w:w="755.8678552700577"/>
            <w:gridCol w:w="8604.132144729942"/>
          </w:tblGrid>
        </w:tblGridChange>
      </w:tblGrid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[1]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after="24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“Education technology,”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International Trade Administration | Trade.gov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. [Online]. Available: </w:t>
            </w:r>
            <w:hyperlink r:id="rId6">
              <w:r w:rsidDel="00000000" w:rsidR="00000000" w:rsidRPr="00000000">
                <w:rPr>
                  <w:color w:val="1155cc"/>
                  <w:sz w:val="24"/>
                  <w:szCs w:val="24"/>
                  <w:u w:val="single"/>
                  <w:rtl w:val="0"/>
                </w:rPr>
                <w:t xml:space="preserve">https://www.trade.gov/education-technology</w:t>
              </w:r>
            </w:hyperlink>
            <w:r w:rsidDel="00000000" w:rsidR="00000000" w:rsidRPr="00000000">
              <w:rPr>
                <w:sz w:val="24"/>
                <w:szCs w:val="24"/>
                <w:rtl w:val="0"/>
              </w:rPr>
              <w:t xml:space="preserve"> .</w:t>
            </w:r>
          </w:p>
        </w:tc>
      </w:tr>
    </w:tbl>
    <w:p w:rsidR="00000000" w:rsidDel="00000000" w:rsidP="00000000" w:rsidRDefault="00000000" w:rsidRPr="00000000" w14:paraId="00000045">
      <w:pPr>
        <w:spacing w:after="24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24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ind w:left="720" w:firstLine="0"/>
        <w:jc w:val="center"/>
        <w:rPr>
          <w:rFonts w:ascii="Times New Roman" w:cs="Times New Roman" w:eastAsia="Times New Roman" w:hAnsi="Times New Roman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34"/>
          <w:szCs w:val="3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trade.gov/education-technolog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